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478" w:rsidRPr="00E40478" w:rsidRDefault="00E40478" w:rsidP="00E40478">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r w:rsidRPr="00E40478">
        <w:rPr>
          <w:rFonts w:ascii="Times New Roman" w:eastAsia="Times New Roman" w:hAnsi="Times New Roman" w:cs="Times New Roman"/>
          <w:b/>
          <w:bCs/>
          <w:kern w:val="36"/>
          <w:sz w:val="48"/>
          <w:szCs w:val="48"/>
          <w:lang w:eastAsia="pl-PL"/>
        </w:rPr>
        <w:t>Raport bieżący nr 24/2010</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b/>
          <w:bCs/>
          <w:sz w:val="24"/>
          <w:szCs w:val="24"/>
          <w:lang w:eastAsia="pl-PL"/>
        </w:rPr>
        <w:t>Wprowadzenie zmian do porządku obrad Zwyczajnego Walnego Zgromadzenia</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Zarząd Spółki Mennica Polska S.A. („Spółka”) informuje, że w związku z otrzymaniem w dniu 17 maja 2010 roku od Akcjonariusza Spółki Pana Zbigniewa Jakubasa („Akcjonariusz”) wniosku, w trybie art. 401 § 1 kodeksu spółek handlowych, o umieszczenie określonych przez Akcjonariusza spraw w porządku obrad Zwyczajnego Walnego Zgromadzenia Spółki zwołanego na dzień 7 czerwca 2010 roku na godzinę 10:00 w siedzibie Spółki przy ul. Pereca 21 w Warszawie („Zwyczajne Walne Zgromadzenie”), postanowił wprowadzić następujące zmiany do porządku obrad Zwyczajnego Walnego Zgromadzenia ogłoszonego w dniu 11 maja 2010 roku (Raport bieżący nr 20/2010):</w:t>
      </w:r>
      <w:r w:rsidRPr="00E40478">
        <w:rPr>
          <w:rFonts w:ascii="Times New Roman" w:eastAsia="Times New Roman" w:hAnsi="Times New Roman" w:cs="Times New Roman"/>
          <w:sz w:val="24"/>
          <w:szCs w:val="24"/>
          <w:lang w:eastAsia="pl-PL"/>
        </w:rPr>
        <w:br/>
        <w:t>Porządek obrad Zwyczajnego Walnego Zgromadzenia zostaje uzupełniony o trzy następujące punkty:</w:t>
      </w:r>
      <w:r w:rsidRPr="00E40478">
        <w:rPr>
          <w:rFonts w:ascii="Times New Roman" w:eastAsia="Times New Roman" w:hAnsi="Times New Roman" w:cs="Times New Roman"/>
          <w:sz w:val="24"/>
          <w:szCs w:val="24"/>
          <w:lang w:eastAsia="pl-PL"/>
        </w:rPr>
        <w:br/>
        <w:t>1. Jako punkt 20 uzupełnionego porządku obrad Zwyczajnego Walnego Zgromadzenia – następujący punkt: Podjęcie uchwały w sprawie wyrażenia zgody na nabycie akcji własnych w celu ich umorzenia.</w:t>
      </w:r>
      <w:r w:rsidRPr="00E40478">
        <w:rPr>
          <w:rFonts w:ascii="Times New Roman" w:eastAsia="Times New Roman" w:hAnsi="Times New Roman" w:cs="Times New Roman"/>
          <w:sz w:val="24"/>
          <w:szCs w:val="24"/>
          <w:lang w:eastAsia="pl-PL"/>
        </w:rPr>
        <w:br/>
        <w:t>2. Jako punkt 16 uzupełnionego porządku obrad Zwyczajnego Walnego Zgromadzenia – następujący punkt: Podjęcie uchwały w sprawie zmiany zasad i wysokości wynagrodzeń Członków Rady Nadzorczej.</w:t>
      </w:r>
      <w:r w:rsidRPr="00E40478">
        <w:rPr>
          <w:rFonts w:ascii="Times New Roman" w:eastAsia="Times New Roman" w:hAnsi="Times New Roman" w:cs="Times New Roman"/>
          <w:sz w:val="24"/>
          <w:szCs w:val="24"/>
          <w:lang w:eastAsia="pl-PL"/>
        </w:rPr>
        <w:br/>
        <w:t>3. Jako punkt 21 uzupełnionego porządku obrad Zwyczajnego Walnego Zgromadzenia – następujący punkt: Podjęcie uchwały w sprawie zmiany Statutu Spółki i upoważnienia Rady Nadzorczej do ustalenia jednolitego tekstu statutu Spółki.</w:t>
      </w:r>
      <w:r w:rsidRPr="00E40478">
        <w:rPr>
          <w:rFonts w:ascii="Times New Roman" w:eastAsia="Times New Roman" w:hAnsi="Times New Roman" w:cs="Times New Roman"/>
          <w:sz w:val="24"/>
          <w:szCs w:val="24"/>
          <w:lang w:eastAsia="pl-PL"/>
        </w:rPr>
        <w:br/>
        <w:t>W związku z powyższymi zmianami, uzupełniony porządek obrad Zwyczajnego Walnego Zgromadzenia przedstawia się następująco:</w:t>
      </w:r>
      <w:r w:rsidRPr="00E40478">
        <w:rPr>
          <w:rFonts w:ascii="Times New Roman" w:eastAsia="Times New Roman" w:hAnsi="Times New Roman" w:cs="Times New Roman"/>
          <w:sz w:val="24"/>
          <w:szCs w:val="24"/>
          <w:lang w:eastAsia="pl-PL"/>
        </w:rPr>
        <w:br/>
        <w:t>1. Otwarcie obrad Walnego Zgromadzenia.</w:t>
      </w:r>
      <w:r w:rsidRPr="00E40478">
        <w:rPr>
          <w:rFonts w:ascii="Times New Roman" w:eastAsia="Times New Roman" w:hAnsi="Times New Roman" w:cs="Times New Roman"/>
          <w:sz w:val="24"/>
          <w:szCs w:val="24"/>
          <w:lang w:eastAsia="pl-PL"/>
        </w:rPr>
        <w:br/>
        <w:t>2. Wybór Przewodniczącego Walnego Zgromadzenia.</w:t>
      </w:r>
      <w:r w:rsidRPr="00E40478">
        <w:rPr>
          <w:rFonts w:ascii="Times New Roman" w:eastAsia="Times New Roman" w:hAnsi="Times New Roman" w:cs="Times New Roman"/>
          <w:sz w:val="24"/>
          <w:szCs w:val="24"/>
          <w:lang w:eastAsia="pl-PL"/>
        </w:rPr>
        <w:br/>
        <w:t>3. Stwierdzenie prawidłowości zwołania Walnego Zgromadzenia i jego zdolności do powzięcia wiążących uchwał.</w:t>
      </w:r>
      <w:r w:rsidRPr="00E40478">
        <w:rPr>
          <w:rFonts w:ascii="Times New Roman" w:eastAsia="Times New Roman" w:hAnsi="Times New Roman" w:cs="Times New Roman"/>
          <w:sz w:val="24"/>
          <w:szCs w:val="24"/>
          <w:lang w:eastAsia="pl-PL"/>
        </w:rPr>
        <w:br/>
        <w:t>4. Przyjęcie porządku obrad.</w:t>
      </w:r>
      <w:r w:rsidRPr="00E40478">
        <w:rPr>
          <w:rFonts w:ascii="Times New Roman" w:eastAsia="Times New Roman" w:hAnsi="Times New Roman" w:cs="Times New Roman"/>
          <w:sz w:val="24"/>
          <w:szCs w:val="24"/>
          <w:lang w:eastAsia="pl-PL"/>
        </w:rPr>
        <w:br/>
        <w:t>5. Rozpatrzenie sprawozdań organów Spółki oraz sprawozdania finansowego Spółki za rok 2009.</w:t>
      </w:r>
      <w:r w:rsidRPr="00E40478">
        <w:rPr>
          <w:rFonts w:ascii="Times New Roman" w:eastAsia="Times New Roman" w:hAnsi="Times New Roman" w:cs="Times New Roman"/>
          <w:sz w:val="24"/>
          <w:szCs w:val="24"/>
          <w:lang w:eastAsia="pl-PL"/>
        </w:rPr>
        <w:br/>
        <w:t>6. Podjęcie uchwały w sprawie zatwierdzenia sprawozdania Zarządu z działalności Spółki za rok 2009.</w:t>
      </w:r>
      <w:r w:rsidRPr="00E40478">
        <w:rPr>
          <w:rFonts w:ascii="Times New Roman" w:eastAsia="Times New Roman" w:hAnsi="Times New Roman" w:cs="Times New Roman"/>
          <w:sz w:val="24"/>
          <w:szCs w:val="24"/>
          <w:lang w:eastAsia="pl-PL"/>
        </w:rPr>
        <w:br/>
        <w:t>7. Podjęcie uchwały w sprawie zatwierdzenia sprawozdania z działalności Rady Nadzorczej Spółki za rok 2009.</w:t>
      </w:r>
      <w:r w:rsidRPr="00E40478">
        <w:rPr>
          <w:rFonts w:ascii="Times New Roman" w:eastAsia="Times New Roman" w:hAnsi="Times New Roman" w:cs="Times New Roman"/>
          <w:sz w:val="24"/>
          <w:szCs w:val="24"/>
          <w:lang w:eastAsia="pl-PL"/>
        </w:rPr>
        <w:br/>
        <w:t>8. Podjęcie uchwały w sprawie zatwierdzenia sprawozdania finansowego Spółki sporządzonego na dzień 31 grudnia 2009 roku.</w:t>
      </w:r>
      <w:r w:rsidRPr="00E40478">
        <w:rPr>
          <w:rFonts w:ascii="Times New Roman" w:eastAsia="Times New Roman" w:hAnsi="Times New Roman" w:cs="Times New Roman"/>
          <w:sz w:val="24"/>
          <w:szCs w:val="24"/>
          <w:lang w:eastAsia="pl-PL"/>
        </w:rPr>
        <w:br/>
        <w:t>9. Podjęcie uchwały w sprawie podziału zysku netto za rok obrotowy 2009.</w:t>
      </w:r>
      <w:r w:rsidRPr="00E40478">
        <w:rPr>
          <w:rFonts w:ascii="Times New Roman" w:eastAsia="Times New Roman" w:hAnsi="Times New Roman" w:cs="Times New Roman"/>
          <w:sz w:val="24"/>
          <w:szCs w:val="24"/>
          <w:lang w:eastAsia="pl-PL"/>
        </w:rPr>
        <w:br/>
        <w:t>10. Rozpatrzenie skonsolidowanego sprawozdania finansowego Grupy Kapitałowej sporządzonego na dzień 31 grudnia 2009 roku.</w:t>
      </w:r>
      <w:r w:rsidRPr="00E40478">
        <w:rPr>
          <w:rFonts w:ascii="Times New Roman" w:eastAsia="Times New Roman" w:hAnsi="Times New Roman" w:cs="Times New Roman"/>
          <w:sz w:val="24"/>
          <w:szCs w:val="24"/>
          <w:lang w:eastAsia="pl-PL"/>
        </w:rPr>
        <w:br/>
        <w:t>11. Podjęcie uchwały w sprawie zatwierdzenia skonsolidowanego sprawozdania finansowego Grypy Kapitałowej sporządzonego na dzień 31 grudnia 2009 roku.</w:t>
      </w:r>
      <w:r w:rsidRPr="00E40478">
        <w:rPr>
          <w:rFonts w:ascii="Times New Roman" w:eastAsia="Times New Roman" w:hAnsi="Times New Roman" w:cs="Times New Roman"/>
          <w:sz w:val="24"/>
          <w:szCs w:val="24"/>
          <w:lang w:eastAsia="pl-PL"/>
        </w:rPr>
        <w:br/>
        <w:t>12. Podjęcie uchwały w sprawie udzielenia Panu Tadeuszowi Steckiewiczowi, Prezesowi Zarządu absolutorium z wykonania obowiązków w okresie od 1 stycznia do 31 grudnia 2009 roku.</w:t>
      </w:r>
      <w:r w:rsidRPr="00E40478">
        <w:rPr>
          <w:rFonts w:ascii="Times New Roman" w:eastAsia="Times New Roman" w:hAnsi="Times New Roman" w:cs="Times New Roman"/>
          <w:sz w:val="24"/>
          <w:szCs w:val="24"/>
          <w:lang w:eastAsia="pl-PL"/>
        </w:rPr>
        <w:br/>
        <w:t>13. Podjęcie uchwały w sprawie udzielenia Pani Barbarze Sissons, Członkowi Zarządu absolutorium z wykonania obowiązków w okresie od 1 stycznia do 31 grudnia 2009 roku.</w:t>
      </w:r>
      <w:r w:rsidRPr="00E40478">
        <w:rPr>
          <w:rFonts w:ascii="Times New Roman" w:eastAsia="Times New Roman" w:hAnsi="Times New Roman" w:cs="Times New Roman"/>
          <w:sz w:val="24"/>
          <w:szCs w:val="24"/>
          <w:lang w:eastAsia="pl-PL"/>
        </w:rPr>
        <w:br/>
        <w:t xml:space="preserve">14. Podjęcie uchwały w sprawie udzielenia Panu Leszkowi Kuli, Członkowi Zarządu </w:t>
      </w:r>
      <w:r w:rsidRPr="00E40478">
        <w:rPr>
          <w:rFonts w:ascii="Times New Roman" w:eastAsia="Times New Roman" w:hAnsi="Times New Roman" w:cs="Times New Roman"/>
          <w:sz w:val="24"/>
          <w:szCs w:val="24"/>
          <w:lang w:eastAsia="pl-PL"/>
        </w:rPr>
        <w:lastRenderedPageBreak/>
        <w:t>absolutorium z wykonania obowiązków w okresie od 1 stycznia do 31 grudnia 2009 roku.</w:t>
      </w:r>
      <w:r w:rsidRPr="00E40478">
        <w:rPr>
          <w:rFonts w:ascii="Times New Roman" w:eastAsia="Times New Roman" w:hAnsi="Times New Roman" w:cs="Times New Roman"/>
          <w:sz w:val="24"/>
          <w:szCs w:val="24"/>
          <w:lang w:eastAsia="pl-PL"/>
        </w:rPr>
        <w:br/>
        <w:t>15. Podjęcie uchwał w sprawie udzielenia członkom Rady Nadzorczej absolutorium z wykonania obowiązków w okresie od 1 stycznia do 31 grudnia 2009 roku.</w:t>
      </w:r>
      <w:r w:rsidRPr="00E40478">
        <w:rPr>
          <w:rFonts w:ascii="Times New Roman" w:eastAsia="Times New Roman" w:hAnsi="Times New Roman" w:cs="Times New Roman"/>
          <w:sz w:val="24"/>
          <w:szCs w:val="24"/>
          <w:lang w:eastAsia="pl-PL"/>
        </w:rPr>
        <w:br/>
        <w:t>16. Podjęcie uchwały w sprawie zmiany zasad i wysokości wynagrodzeń Członków Rady Nadzorczej.</w:t>
      </w:r>
      <w:r w:rsidRPr="00E40478">
        <w:rPr>
          <w:rFonts w:ascii="Times New Roman" w:eastAsia="Times New Roman" w:hAnsi="Times New Roman" w:cs="Times New Roman"/>
          <w:sz w:val="24"/>
          <w:szCs w:val="24"/>
          <w:lang w:eastAsia="pl-PL"/>
        </w:rPr>
        <w:br/>
        <w:t>17. Podjęcie uchwały w sprawie ustalenia liczby członków Rady Nadzorczej VI kadencji.</w:t>
      </w:r>
      <w:r w:rsidRPr="00E40478">
        <w:rPr>
          <w:rFonts w:ascii="Times New Roman" w:eastAsia="Times New Roman" w:hAnsi="Times New Roman" w:cs="Times New Roman"/>
          <w:sz w:val="24"/>
          <w:szCs w:val="24"/>
          <w:lang w:eastAsia="pl-PL"/>
        </w:rPr>
        <w:br/>
        <w:t>18. Podjęcie uchwały w sprawie zatwierdzenia wyboru przez pracowników członków Rady Nadzorczej.</w:t>
      </w:r>
      <w:r w:rsidRPr="00E40478">
        <w:rPr>
          <w:rFonts w:ascii="Times New Roman" w:eastAsia="Times New Roman" w:hAnsi="Times New Roman" w:cs="Times New Roman"/>
          <w:sz w:val="24"/>
          <w:szCs w:val="24"/>
          <w:lang w:eastAsia="pl-PL"/>
        </w:rPr>
        <w:br/>
        <w:t>19. Podjęcie uchwał w sprawie wyboru członków Rady Nadzorczej VI kadencji.</w:t>
      </w:r>
      <w:r w:rsidRPr="00E40478">
        <w:rPr>
          <w:rFonts w:ascii="Times New Roman" w:eastAsia="Times New Roman" w:hAnsi="Times New Roman" w:cs="Times New Roman"/>
          <w:sz w:val="24"/>
          <w:szCs w:val="24"/>
          <w:lang w:eastAsia="pl-PL"/>
        </w:rPr>
        <w:br/>
        <w:t>20. Podjęcie uchwały w sprawie wyrażenia zgody na nabycie akcji własnych w celu ich umorzenia.</w:t>
      </w:r>
      <w:r w:rsidRPr="00E40478">
        <w:rPr>
          <w:rFonts w:ascii="Times New Roman" w:eastAsia="Times New Roman" w:hAnsi="Times New Roman" w:cs="Times New Roman"/>
          <w:sz w:val="24"/>
          <w:szCs w:val="24"/>
          <w:lang w:eastAsia="pl-PL"/>
        </w:rPr>
        <w:br/>
        <w:t>21. Podjęcie uchwały w sprawie zmiany Statutu Spółki i upoważnienia Rady Nadzorczej do ustalenia jednolitego tekstu statutu Spółki.</w:t>
      </w:r>
      <w:r w:rsidRPr="00E40478">
        <w:rPr>
          <w:rFonts w:ascii="Times New Roman" w:eastAsia="Times New Roman" w:hAnsi="Times New Roman" w:cs="Times New Roman"/>
          <w:sz w:val="24"/>
          <w:szCs w:val="24"/>
          <w:lang w:eastAsia="pl-PL"/>
        </w:rPr>
        <w:br/>
        <w:t>22. Zamknięcie obrad.</w:t>
      </w:r>
      <w:r w:rsidRPr="00E40478">
        <w:rPr>
          <w:rFonts w:ascii="Times New Roman" w:eastAsia="Times New Roman" w:hAnsi="Times New Roman" w:cs="Times New Roman"/>
          <w:sz w:val="24"/>
          <w:szCs w:val="24"/>
          <w:lang w:eastAsia="pl-PL"/>
        </w:rPr>
        <w:br/>
        <w:t>Szczegółowe informacje dotyczące zasad uczestnictwa w Zwyczajnym Walnym Zgromadzeniu oraz osób uprawnionych do uczestnictwa w Zwyczajnym Walnym Zgromadzeniu zostały przekazane w raporcie bieżącym Spółki nr 20/2010 z dnia 11 maja 2010 roku.</w:t>
      </w:r>
      <w:r w:rsidRPr="00E40478">
        <w:rPr>
          <w:rFonts w:ascii="Times New Roman" w:eastAsia="Times New Roman" w:hAnsi="Times New Roman" w:cs="Times New Roman"/>
          <w:sz w:val="24"/>
          <w:szCs w:val="24"/>
          <w:lang w:eastAsia="pl-PL"/>
        </w:rPr>
        <w:br/>
        <w:t>Projekty uchwał Zwyczajnego Walnego Zgromadzenia do wszystkich punktów porządku obrad innych niż dodane na wniosek Akcjonariusza zostały przekazane w raporcie bieżącym Spółki nr 21/2010 z dnia 11 maja 2010 roku.</w:t>
      </w:r>
      <w:r w:rsidRPr="00E40478">
        <w:rPr>
          <w:rFonts w:ascii="Times New Roman" w:eastAsia="Times New Roman" w:hAnsi="Times New Roman" w:cs="Times New Roman"/>
          <w:sz w:val="24"/>
          <w:szCs w:val="24"/>
          <w:lang w:eastAsia="pl-PL"/>
        </w:rPr>
        <w:br/>
        <w:t xml:space="preserve">Poniżej Zarząd Spółki przekazuje uzasadnienie do punktów 16 i 20 uzupełnionego porządku obrad Zwyczajnego Walnego Zgromadzenia oraz projekt uchwały dotyczącej punktu 21 uzupełnionego porządku obrad Zwyczajnego Walnego Zgromadzenia, które zostały przekazane we wniosku Akcjonariusza, a mianowicie: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w uzasadnieniu do pkt 16 zmienionego porządku obrad Zwyczajnego Walnego Zgromadzenia, tj. punktu w brzmieniu: Podjęcie uchwały w sprawie zmiany zasad i wysokości wynagrodzeń Członków Rady Nadzorczej, wskazano:</w:t>
      </w:r>
      <w:r w:rsidRPr="00E40478">
        <w:rPr>
          <w:rFonts w:ascii="Times New Roman" w:eastAsia="Times New Roman" w:hAnsi="Times New Roman" w:cs="Times New Roman"/>
          <w:sz w:val="24"/>
          <w:szCs w:val="24"/>
          <w:lang w:eastAsia="pl-PL"/>
        </w:rPr>
        <w:br/>
        <w:t xml:space="preserve">Mając na uwadze wyniki finansowe, które Spółka osiągnęła w I kwartale 2010 roku oraz aktualną sytuację gospodarczą, istnieje uzasadnienie dla redukcji kosztów ogólnego zarządu i nadzoru ponoszonych przez Spółkę. </w:t>
      </w:r>
      <w:r w:rsidRPr="00E40478">
        <w:rPr>
          <w:rFonts w:ascii="Times New Roman" w:eastAsia="Times New Roman" w:hAnsi="Times New Roman" w:cs="Times New Roman"/>
          <w:sz w:val="24"/>
          <w:szCs w:val="24"/>
          <w:lang w:eastAsia="pl-PL"/>
        </w:rPr>
        <w:br/>
        <w:t>W związku z powyższym, proponuje się obniżenie miesięcznego wynagrodzenia pobieranego z tytułu pełnienia funkcji w Radzie Nadzorczej Spółki do następującej wysokości:</w:t>
      </w:r>
      <w:r w:rsidRPr="00E40478">
        <w:rPr>
          <w:rFonts w:ascii="Times New Roman" w:eastAsia="Times New Roman" w:hAnsi="Times New Roman" w:cs="Times New Roman"/>
          <w:sz w:val="24"/>
          <w:szCs w:val="24"/>
          <w:lang w:eastAsia="pl-PL"/>
        </w:rPr>
        <w:br/>
        <w:t>1) dla Przewodniczącego Rady Nadzorczej – 1,2-krotność przeciętnego miesięcznego wynagrodzenia osobowego brutto w Spółce w kwartale poprzedzającym wypłatę wynagrodzenia,</w:t>
      </w:r>
      <w:r w:rsidRPr="00E40478">
        <w:rPr>
          <w:rFonts w:ascii="Times New Roman" w:eastAsia="Times New Roman" w:hAnsi="Times New Roman" w:cs="Times New Roman"/>
          <w:sz w:val="24"/>
          <w:szCs w:val="24"/>
          <w:lang w:eastAsia="pl-PL"/>
        </w:rPr>
        <w:br/>
        <w:t>2) dla Wiceprzewodniczącego – 1,1-krotność przeciętnego miesięcznego wynagrodzenia osobowego brutto w Spółce w kwartale poprzedzającym wypłatę wynagrodzenia,</w:t>
      </w:r>
      <w:r w:rsidRPr="00E40478">
        <w:rPr>
          <w:rFonts w:ascii="Times New Roman" w:eastAsia="Times New Roman" w:hAnsi="Times New Roman" w:cs="Times New Roman"/>
          <w:sz w:val="24"/>
          <w:szCs w:val="24"/>
          <w:lang w:eastAsia="pl-PL"/>
        </w:rPr>
        <w:br/>
        <w:t xml:space="preserve">3) dla pozostałych członków Rady Nadzorczej – jednokrotność przeciętnego miesięcznego wynagrodzenia osobowego brutto w Spółce w kwartale poprzedzającym wypłatę wynagrodzenia.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w uzasadnieniu do pkt 20 zmienionego porządku obrad Zwyczajnego Walnego Zgromadzenia, tj. punktu w brzmieniu: Podjęcie uchwały w sprawie wyrażenia zgody na nabycie akcji własnych w celu ich umorzenia, wskazano:</w:t>
      </w:r>
      <w:r w:rsidRPr="00E40478">
        <w:rPr>
          <w:rFonts w:ascii="Times New Roman" w:eastAsia="Times New Roman" w:hAnsi="Times New Roman" w:cs="Times New Roman"/>
          <w:sz w:val="24"/>
          <w:szCs w:val="24"/>
          <w:lang w:eastAsia="pl-PL"/>
        </w:rPr>
        <w:br/>
        <w:t xml:space="preserve">Mając na uwadze wyniki finansowe, które Spółka osiągnęła w I kwartale 2010 roku, możliwy wpływ informacji o tych wynikach, które Spółka przekazała do publicznej wiadomości w dniu 14 maja 2010 r., na potencjalny spadek wartości akcji Spółki w krótkim okresie, znajdujący odzwierciedlenie w notowaniach akcji Spółki na rynku giełdowym, oraz kierując </w:t>
      </w:r>
      <w:r w:rsidRPr="00E40478">
        <w:rPr>
          <w:rFonts w:ascii="Times New Roman" w:eastAsia="Times New Roman" w:hAnsi="Times New Roman" w:cs="Times New Roman"/>
          <w:sz w:val="24"/>
          <w:szCs w:val="24"/>
          <w:lang w:eastAsia="pl-PL"/>
        </w:rPr>
        <w:lastRenderedPageBreak/>
        <w:t>się zamiarem, aby wartość akcji Spółki wzrastała zarówno w krótkim okresie, jak i długofalowo, w ocenie Akcjonariusza Spółka powinna przeznaczyć część kwoty zysku netto wypracowanego w roku obrotowym 2009 na zapłatę za akcje własne Spółki nabyte przez Spółkę w celu umorzenia. Zmniejszenie ogólnej liczby akcji tworzących kapitał zakładowy Spółki powinno wpłynąć na wzrost ceny pojedynczej akcji Spółki (poprawie ulegnie bowiem powszechnie stosowany przez inwestorów wskaźnik stosunku ceny akcji Spółki do zysku Spółki).</w:t>
      </w:r>
      <w:r w:rsidRPr="00E40478">
        <w:rPr>
          <w:rFonts w:ascii="Times New Roman" w:eastAsia="Times New Roman" w:hAnsi="Times New Roman" w:cs="Times New Roman"/>
          <w:sz w:val="24"/>
          <w:szCs w:val="24"/>
          <w:lang w:eastAsia="pl-PL"/>
        </w:rPr>
        <w:br/>
        <w:t xml:space="preserve">Co więcej, biorąc pod uwagę, iż w ostatnim okresie niepowodzeniem zakończyły się działania Spółki zmierzające do przejęcia podmiotów zewnętrznych (tj. spółki RUCH S.A. oraz Ceskiej Mincovny), Spółka, w ocenie Akcjonariusza, nie potrzebuje w krótkim okresie środków, które mogłyby służyć finansowaniu potencjalnych akwizycji. Z drugiej strony, nie można zapominać, iż strategia Spółki obejmuje zadania inwestycyjne związane z rozwojem działalności Mennicy Polskiej S.A. oraz uwzględnia niepewne warunki rynkowe spowodowane sytuacją gospodarczą w Polsce i na świecie (vide raport bieżący Spółki nr 19/2010 z dnia 11 maja 2010 r.). Powyższe skłania do wniosku, iż część, jednak nie całość, środków finansowych posiadanych przez Spółkę może zostać wykorzystana na realizację działań zmierzających do podniesienia wartości akcji Spółki, poprzez nabycie przez Spółkę akcji własnych po cenie odpowiadającej ich bieżącej wartości rynkowej a następnie ich umorzenie. Działania takie powinny być podjęte możliwie szybko, nie powinny być rozłożone w czasie, a równocześnie powinny obejmować poniżej 10% ogólnej liczby akcji Spółki. W długim okresie Spółka powinna bowiem skupić się na dalszym rozwoju, w tym być może na akwizycjach, co powinno przełożyć się na długofalowy wzrost wartości akcji Spółki, a co wymaga jednak pozostawienia w Spółce pewnej kwoty wolnych środków finansowych. Prowadzi to do wniosku, iż Zarząd Spółki winien niezwłocznie podjąć działania zmierzające do ustalenia akcjonariuszy Spółki zainteresowanych odsprzedażą akcji Spółce w celu ich umorzenia, dokonać nabycia akcji własnych oraz obniżyć kapitał zakładowy Spółki. Wyżej opisane działania powinny przełożyć się na wzrost wartości akcji Spółki w krótkim okresie. Wzrost wartości akcji Spółki długofalowo winien zaś wynikać z rozwoju działalności Mennicy Polskiej S.A.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w odniesieniu do pkt 21 zmienionego porządku obrad Zwyczajnego Walnego Zgromadzenia, tj. punktu w brzmieniu: Podjęcie uchwały w sprawie zmiany Statutu Spółki i upoważnienia Rady Nadzorczej do ustalenia jednolitego tekstu statutu Spółki, przedstawiono następujący projekt uchwały:</w:t>
      </w:r>
      <w:r w:rsidRPr="00E40478">
        <w:rPr>
          <w:rFonts w:ascii="Times New Roman" w:eastAsia="Times New Roman" w:hAnsi="Times New Roman" w:cs="Times New Roman"/>
          <w:sz w:val="24"/>
          <w:szCs w:val="24"/>
          <w:lang w:eastAsia="pl-PL"/>
        </w:rPr>
        <w:br/>
        <w:t>Uchwała nr […]</w:t>
      </w:r>
      <w:r w:rsidRPr="00E40478">
        <w:rPr>
          <w:rFonts w:ascii="Times New Roman" w:eastAsia="Times New Roman" w:hAnsi="Times New Roman" w:cs="Times New Roman"/>
          <w:sz w:val="24"/>
          <w:szCs w:val="24"/>
          <w:lang w:eastAsia="pl-PL"/>
        </w:rPr>
        <w:br/>
        <w:t>Zwyczajnego Walnego Zgromadzenia Mennicy Polskiej S.A. („Spółka”)</w:t>
      </w:r>
      <w:r w:rsidRPr="00E40478">
        <w:rPr>
          <w:rFonts w:ascii="Times New Roman" w:eastAsia="Times New Roman" w:hAnsi="Times New Roman" w:cs="Times New Roman"/>
          <w:sz w:val="24"/>
          <w:szCs w:val="24"/>
          <w:lang w:eastAsia="pl-PL"/>
        </w:rPr>
        <w:br/>
        <w:t>z dnia 7 czerwca 2010 roku</w:t>
      </w:r>
      <w:r w:rsidRPr="00E40478">
        <w:rPr>
          <w:rFonts w:ascii="Times New Roman" w:eastAsia="Times New Roman" w:hAnsi="Times New Roman" w:cs="Times New Roman"/>
          <w:sz w:val="24"/>
          <w:szCs w:val="24"/>
          <w:lang w:eastAsia="pl-PL"/>
        </w:rPr>
        <w:br/>
        <w:t xml:space="preserve">w sprawie zmian w Statucie Spółki i upoważnienia Rady Nadzorczej do ustalenia jednolitego tekstu Statutu Spółki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xml:space="preserve">Działając na podstawie art. 430 § 1 oraz § 5 Kodeksu spółek handlowych, uchwala się co następuje: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1.</w:t>
      </w:r>
      <w:r w:rsidRPr="00E40478">
        <w:rPr>
          <w:rFonts w:ascii="Times New Roman" w:eastAsia="Times New Roman" w:hAnsi="Times New Roman" w:cs="Times New Roman"/>
          <w:sz w:val="24"/>
          <w:szCs w:val="24"/>
          <w:lang w:eastAsia="pl-PL"/>
        </w:rPr>
        <w:br/>
        <w:t xml:space="preserve">Dokonuje się następujących zmian w Statucie Spółki: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1) § 17 w brzmieniu:</w:t>
      </w:r>
      <w:r w:rsidRPr="00E40478">
        <w:rPr>
          <w:rFonts w:ascii="Times New Roman" w:eastAsia="Times New Roman" w:hAnsi="Times New Roman" w:cs="Times New Roman"/>
          <w:sz w:val="24"/>
          <w:szCs w:val="24"/>
          <w:lang w:eastAsia="pl-PL"/>
        </w:rPr>
        <w:br/>
        <w:t xml:space="preserve">„1. Rada Nadzorcza składa się z 5 do 6 członków powoływanych na okres wspólnej czteroletniej kadencji, przy czym mandaty członków Rady Nadzorczej wygasają najpóźniej z dniem odbycia Zwyczajnego Walnego Zgromadzenia zatwierdzającego sprawozdanie </w:t>
      </w:r>
      <w:r w:rsidRPr="00E40478">
        <w:rPr>
          <w:rFonts w:ascii="Times New Roman" w:eastAsia="Times New Roman" w:hAnsi="Times New Roman" w:cs="Times New Roman"/>
          <w:sz w:val="24"/>
          <w:szCs w:val="24"/>
          <w:lang w:eastAsia="pl-PL"/>
        </w:rPr>
        <w:lastRenderedPageBreak/>
        <w:t>finansowe Spółki za ostatni pełny rok obrotowy pełnienia funkcji członka Rady Nadzorczej.</w:t>
      </w:r>
      <w:r w:rsidRPr="00E40478">
        <w:rPr>
          <w:rFonts w:ascii="Times New Roman" w:eastAsia="Times New Roman" w:hAnsi="Times New Roman" w:cs="Times New Roman"/>
          <w:sz w:val="24"/>
          <w:szCs w:val="24"/>
          <w:lang w:eastAsia="pl-PL"/>
        </w:rPr>
        <w:br/>
        <w:t>2. Z zastrzeżeniem ust. 3, 4 i 5, członków, w tym Przewodniczącego, Rady Nadzorczej powołuje i odwołuje Walne Zgromadzenie.</w:t>
      </w:r>
      <w:r w:rsidRPr="00E40478">
        <w:rPr>
          <w:rFonts w:ascii="Times New Roman" w:eastAsia="Times New Roman" w:hAnsi="Times New Roman" w:cs="Times New Roman"/>
          <w:sz w:val="24"/>
          <w:szCs w:val="24"/>
          <w:lang w:eastAsia="pl-PL"/>
        </w:rPr>
        <w:br/>
        <w:t>3. Pracownikom przysługuje prawo wyboru dwóch członków Rady Nadzorczej. Wybory są powszechne, bezpośrednie i odbywają się w głosowaniu tajnym spośród nieograniczonej liczby kandydatów spełniających warunki określone przez Radę Nadzorczą i gwarantujących prawidłowe wykonywanie funkcji członka Rady. Zgłoszenie kandydatury wymaga uzyskania poparcia przez co najmniej 50 pracowników. Szczegółowe wymogi dotyczące m.in. uprawnień do udziału w wyborach (czynnego prawa wyborczego), korzystania z biernego prawa wyborczego, zgłoszenia kandydatów, wymogów ważności wyborów, trybu ich przeprowadzenia, ustalenia wyników wyborów, stwierdzenia ważności wyborów określa regulamin uchwalony przez Radę Nadzorczą. Dokonany przez pracowników wybór jest zatwierdzany przez Walne Zgromadzenie, przy czym wybór ten jest wiążący dla Walnego Zgromadzenia.</w:t>
      </w:r>
      <w:r w:rsidRPr="00E40478">
        <w:rPr>
          <w:rFonts w:ascii="Times New Roman" w:eastAsia="Times New Roman" w:hAnsi="Times New Roman" w:cs="Times New Roman"/>
          <w:sz w:val="24"/>
          <w:szCs w:val="24"/>
          <w:lang w:eastAsia="pl-PL"/>
        </w:rPr>
        <w:br/>
        <w:t>4. Na wniosek co najmniej 15% ogólnej liczby pracowników lub na wniosek Przewodniczącego Rady Nadzorczej, Rada Nadzorcza zarządza głosowanie w sprawie odwołania członka Rady wybranego przez pracowników. Głosowanie w sprawie odwołania odbywa się odpowiednio według zasad przyjętych dla wyborów, przy czym dla skuteczności odwołania konieczne jest uzyskanie bezwzględnej większości ważnie oddanych głosów, przy udziale w wyborach bezwzględnej większości uprawnionych do głosowania. Szczegółowe warunki dotyczące odwołania określone są w regulaminie, o którym mowa w ust. 3. O skuteczności, bądź nieskuteczności odwołania uchwala Rada Nadzorcza.</w:t>
      </w:r>
      <w:r w:rsidRPr="00E40478">
        <w:rPr>
          <w:rFonts w:ascii="Times New Roman" w:eastAsia="Times New Roman" w:hAnsi="Times New Roman" w:cs="Times New Roman"/>
          <w:sz w:val="24"/>
          <w:szCs w:val="24"/>
          <w:lang w:eastAsia="pl-PL"/>
        </w:rPr>
        <w:br/>
        <w:t>5. Postanowienia ust. 4 nie pozbawiają prawa Walnego Zgromadzenia do odwołania członków Rady wybranych przez pracowników w trybie określonym w ust. 3.</w:t>
      </w:r>
      <w:r w:rsidRPr="00E40478">
        <w:rPr>
          <w:rFonts w:ascii="Times New Roman" w:eastAsia="Times New Roman" w:hAnsi="Times New Roman" w:cs="Times New Roman"/>
          <w:sz w:val="24"/>
          <w:szCs w:val="24"/>
          <w:lang w:eastAsia="pl-PL"/>
        </w:rPr>
        <w:br/>
        <w:t>6. W razie dokonania w trybie określonym w ust. 4 lub 5 skutecznego odwołania członka Rady Nadzorczej, Rada Nadzorcza zarządza wybory uzupełniające według zasad i trybu określonych w ust. 3. Wybory uzupełniające zarządza się także w razie śmierci, rezygnacji lub trwałej ważnej przyczyny powodującej niemożność sprawowania funkcji przez członka Rady wybranego przez pracowników.</w:t>
      </w:r>
      <w:r w:rsidRPr="00E40478">
        <w:rPr>
          <w:rFonts w:ascii="Times New Roman" w:eastAsia="Times New Roman" w:hAnsi="Times New Roman" w:cs="Times New Roman"/>
          <w:sz w:val="24"/>
          <w:szCs w:val="24"/>
          <w:lang w:eastAsia="pl-PL"/>
        </w:rPr>
        <w:br/>
        <w:t>7. Niedokonanie przez pracowników wyboru członków Rady Nadzorczej w sposób określony w ust. 3 lub w ust. 6 nie ma wpływu na ważność powołania Rady Nadzorczej przez Walne Zgromadzenie oraz na skuteczność jej czynności, a zwłaszcza podejmowanych uchwał, z zastrzeżeniem bezwzględnie obowiązujących przepisów prawa w tej materii.</w:t>
      </w:r>
      <w:r w:rsidRPr="00E40478">
        <w:rPr>
          <w:rFonts w:ascii="Times New Roman" w:eastAsia="Times New Roman" w:hAnsi="Times New Roman" w:cs="Times New Roman"/>
          <w:sz w:val="24"/>
          <w:szCs w:val="24"/>
          <w:lang w:eastAsia="pl-PL"/>
        </w:rPr>
        <w:br/>
        <w:t>8. Członkowie Rady Nadzorczej mogą być powoływani na kolejne kadencje. Postanowienia zdania poprzedniego nie stosuje do osób odwołanych w trybie określonym w ust. 4 lub 5.</w:t>
      </w:r>
      <w:r w:rsidRPr="00E40478">
        <w:rPr>
          <w:rFonts w:ascii="Times New Roman" w:eastAsia="Times New Roman" w:hAnsi="Times New Roman" w:cs="Times New Roman"/>
          <w:sz w:val="24"/>
          <w:szCs w:val="24"/>
          <w:lang w:eastAsia="pl-PL"/>
        </w:rPr>
        <w:br/>
        <w:t xml:space="preserve">9. Jeżeli liczba członków Rady Nadzorczej uległa zmniejszeniu w wyniku śmierci, odwołania, rezygnacji lub innej trwałej przyczyny, uchwały Rady podjęte do czasu uzupełnienia jej składu, są ważne, z zastrzeżeniem bezwzględnie obowiązujących przepisów prawa w tej materii.”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otrzymuje nowe, następujące brzmienie:</w:t>
      </w:r>
      <w:r w:rsidRPr="00E40478">
        <w:rPr>
          <w:rFonts w:ascii="Times New Roman" w:eastAsia="Times New Roman" w:hAnsi="Times New Roman" w:cs="Times New Roman"/>
          <w:sz w:val="24"/>
          <w:szCs w:val="24"/>
          <w:lang w:eastAsia="pl-PL"/>
        </w:rPr>
        <w:br/>
        <w:t>„1. Rada Nadzorcza składa się z 5 do 6 członków powoływanych na okres wspólnej czteroletniej kadencji, przy czym mandaty członków Rady Nadzorczej wygasają najpóźniej z dniem odbycia Zwyczajnego Walnego Zgromadzenia zatwierdzającego sprawozdanie finansowe Spółki za ostatni pełny rok obrotowy pełnienia funkcji członka Rady Nadzorczej.</w:t>
      </w:r>
      <w:r w:rsidRPr="00E40478">
        <w:rPr>
          <w:rFonts w:ascii="Times New Roman" w:eastAsia="Times New Roman" w:hAnsi="Times New Roman" w:cs="Times New Roman"/>
          <w:sz w:val="24"/>
          <w:szCs w:val="24"/>
          <w:lang w:eastAsia="pl-PL"/>
        </w:rPr>
        <w:br/>
        <w:t>2. Członków Rady Nadzorczej, w tym jej Przewodniczącego, powołuje i odwołuje Walne Zgromadzenie.</w:t>
      </w:r>
      <w:r w:rsidRPr="00E40478">
        <w:rPr>
          <w:rFonts w:ascii="Times New Roman" w:eastAsia="Times New Roman" w:hAnsi="Times New Roman" w:cs="Times New Roman"/>
          <w:sz w:val="24"/>
          <w:szCs w:val="24"/>
          <w:lang w:eastAsia="pl-PL"/>
        </w:rPr>
        <w:br/>
        <w:t xml:space="preserve">3. Członkowie Rady Nadzorczej mogą być powoływani na kolejne kadencje. </w:t>
      </w:r>
      <w:r w:rsidRPr="00E40478">
        <w:rPr>
          <w:rFonts w:ascii="Times New Roman" w:eastAsia="Times New Roman" w:hAnsi="Times New Roman" w:cs="Times New Roman"/>
          <w:sz w:val="24"/>
          <w:szCs w:val="24"/>
          <w:lang w:eastAsia="pl-PL"/>
        </w:rPr>
        <w:br/>
        <w:t xml:space="preserve">4. Jeżeli liczba członków Rady Nadzorczej uległa zmniejszeniu w wyniku śmierci, odwołania, rezygnacji lub innej trwałej przyczyny, uchwały Rady podjęte do czasu uzupełnienia jej </w:t>
      </w:r>
      <w:r w:rsidRPr="00E40478">
        <w:rPr>
          <w:rFonts w:ascii="Times New Roman" w:eastAsia="Times New Roman" w:hAnsi="Times New Roman" w:cs="Times New Roman"/>
          <w:sz w:val="24"/>
          <w:szCs w:val="24"/>
          <w:lang w:eastAsia="pl-PL"/>
        </w:rPr>
        <w:lastRenderedPageBreak/>
        <w:t xml:space="preserve">składu, są ważne, z zastrzeżeniem bezwzględnie obowiązujących przepisów prawa w tej materii.”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2) § 27 w brzmieniu:</w:t>
      </w:r>
      <w:r w:rsidRPr="00E40478">
        <w:rPr>
          <w:rFonts w:ascii="Times New Roman" w:eastAsia="Times New Roman" w:hAnsi="Times New Roman" w:cs="Times New Roman"/>
          <w:sz w:val="24"/>
          <w:szCs w:val="24"/>
          <w:lang w:eastAsia="pl-PL"/>
        </w:rPr>
        <w:br/>
        <w:t>„ Do kompetencji Walnego Zgromadzenia należy w szczególności:</w:t>
      </w:r>
      <w:r w:rsidRPr="00E40478">
        <w:rPr>
          <w:rFonts w:ascii="Times New Roman" w:eastAsia="Times New Roman" w:hAnsi="Times New Roman" w:cs="Times New Roman"/>
          <w:sz w:val="24"/>
          <w:szCs w:val="24"/>
          <w:lang w:eastAsia="pl-PL"/>
        </w:rPr>
        <w:br/>
        <w:t>1) rozpatrzenie i zatwierdzenie sprawozdania Zarządu  z działalności Spółki oraz sprawozdania finansowego za ubiegły rok obrotowy oraz udzielenie absolutorium  członkom  organów Spółki z wykonania przez nich  obowiązków,</w:t>
      </w:r>
      <w:r w:rsidRPr="00E40478">
        <w:rPr>
          <w:rFonts w:ascii="Times New Roman" w:eastAsia="Times New Roman" w:hAnsi="Times New Roman" w:cs="Times New Roman"/>
          <w:sz w:val="24"/>
          <w:szCs w:val="24"/>
          <w:lang w:eastAsia="pl-PL"/>
        </w:rPr>
        <w:br/>
        <w:t>2) podział zysków lub pokrycie strat,</w:t>
      </w:r>
      <w:r w:rsidRPr="00E40478">
        <w:rPr>
          <w:rFonts w:ascii="Times New Roman" w:eastAsia="Times New Roman" w:hAnsi="Times New Roman" w:cs="Times New Roman"/>
          <w:sz w:val="24"/>
          <w:szCs w:val="24"/>
          <w:lang w:eastAsia="pl-PL"/>
        </w:rPr>
        <w:br/>
        <w:t>3) rozpatrzenie i zatwierdzenie sprawozdania Rady Nadzorczej za rok ubiegły,</w:t>
      </w:r>
      <w:r w:rsidRPr="00E40478">
        <w:rPr>
          <w:rFonts w:ascii="Times New Roman" w:eastAsia="Times New Roman" w:hAnsi="Times New Roman" w:cs="Times New Roman"/>
          <w:sz w:val="24"/>
          <w:szCs w:val="24"/>
          <w:lang w:eastAsia="pl-PL"/>
        </w:rPr>
        <w:br/>
        <w:t>4) zmiana statutu Spółki,</w:t>
      </w:r>
      <w:r w:rsidRPr="00E40478">
        <w:rPr>
          <w:rFonts w:ascii="Times New Roman" w:eastAsia="Times New Roman" w:hAnsi="Times New Roman" w:cs="Times New Roman"/>
          <w:sz w:val="24"/>
          <w:szCs w:val="24"/>
          <w:lang w:eastAsia="pl-PL"/>
        </w:rPr>
        <w:br/>
        <w:t>5) podwyższenie lub  obniżenie kapitału zakładowego,</w:t>
      </w:r>
      <w:r w:rsidRPr="00E40478">
        <w:rPr>
          <w:rFonts w:ascii="Times New Roman" w:eastAsia="Times New Roman" w:hAnsi="Times New Roman" w:cs="Times New Roman"/>
          <w:sz w:val="24"/>
          <w:szCs w:val="24"/>
          <w:lang w:eastAsia="pl-PL"/>
        </w:rPr>
        <w:br/>
        <w:t>6) zbycie i wydzierżawienie przedsiębiorstwa lub jego zorganizowanej części oraz ustanowienie na nich ograniczonego prawa rzeczowego,</w:t>
      </w:r>
      <w:r w:rsidRPr="00E40478">
        <w:rPr>
          <w:rFonts w:ascii="Times New Roman" w:eastAsia="Times New Roman" w:hAnsi="Times New Roman" w:cs="Times New Roman"/>
          <w:sz w:val="24"/>
          <w:szCs w:val="24"/>
          <w:lang w:eastAsia="pl-PL"/>
        </w:rPr>
        <w:br/>
        <w:t>7) nabycie i zbycie nieruchomości lub udziału w nieruchomości o wartości przekraczającej 25 % kapitału zakładowego Spółki,</w:t>
      </w:r>
      <w:r w:rsidRPr="00E40478">
        <w:rPr>
          <w:rFonts w:ascii="Times New Roman" w:eastAsia="Times New Roman" w:hAnsi="Times New Roman" w:cs="Times New Roman"/>
          <w:sz w:val="24"/>
          <w:szCs w:val="24"/>
          <w:lang w:eastAsia="pl-PL"/>
        </w:rPr>
        <w:br/>
        <w:t>8) emisja obligacji, w tym zamiennych lub  z prawem pierwszeństwa,</w:t>
      </w:r>
      <w:r w:rsidRPr="00E40478">
        <w:rPr>
          <w:rFonts w:ascii="Times New Roman" w:eastAsia="Times New Roman" w:hAnsi="Times New Roman" w:cs="Times New Roman"/>
          <w:sz w:val="24"/>
          <w:szCs w:val="24"/>
          <w:lang w:eastAsia="pl-PL"/>
        </w:rPr>
        <w:br/>
        <w:t>9) rozstrzyganie o użyciu kapitału zapasowego i kapitałów rezerwowych,</w:t>
      </w:r>
      <w:r w:rsidRPr="00E40478">
        <w:rPr>
          <w:rFonts w:ascii="Times New Roman" w:eastAsia="Times New Roman" w:hAnsi="Times New Roman" w:cs="Times New Roman"/>
          <w:sz w:val="24"/>
          <w:szCs w:val="24"/>
          <w:lang w:eastAsia="pl-PL"/>
        </w:rPr>
        <w:br/>
        <w:t>10) wybór biegłego w przypadkach określonych w Ksh,</w:t>
      </w:r>
      <w:r w:rsidRPr="00E40478">
        <w:rPr>
          <w:rFonts w:ascii="Times New Roman" w:eastAsia="Times New Roman" w:hAnsi="Times New Roman" w:cs="Times New Roman"/>
          <w:sz w:val="24"/>
          <w:szCs w:val="24"/>
          <w:lang w:eastAsia="pl-PL"/>
        </w:rPr>
        <w:br/>
        <w:t>11) wszelkie postanowienia dotyczące roszczeń o naprawienie szkody wyrządzonej przy zawiązywaniu Spółki lub sprawowaniu zarządu albo nadzoru,</w:t>
      </w:r>
      <w:r w:rsidRPr="00E40478">
        <w:rPr>
          <w:rFonts w:ascii="Times New Roman" w:eastAsia="Times New Roman" w:hAnsi="Times New Roman" w:cs="Times New Roman"/>
          <w:sz w:val="24"/>
          <w:szCs w:val="24"/>
          <w:lang w:eastAsia="pl-PL"/>
        </w:rPr>
        <w:br/>
        <w:t>12) powoływanie i odwoływanie członków Rady Nadzorczej, w tym Przewodniczącego oraz zatwierdzanie wyboru członków Rady, o których mowa w §  17 ust. 3,</w:t>
      </w:r>
      <w:r w:rsidRPr="00E40478">
        <w:rPr>
          <w:rFonts w:ascii="Times New Roman" w:eastAsia="Times New Roman" w:hAnsi="Times New Roman" w:cs="Times New Roman"/>
          <w:sz w:val="24"/>
          <w:szCs w:val="24"/>
          <w:lang w:eastAsia="pl-PL"/>
        </w:rPr>
        <w:br/>
        <w:t>13) z zastrzeżeniem  treści § 22 ust. 3 ustalenie zasad i wysokości wynagrodzenia Członków Rady Nadzorczej,</w:t>
      </w:r>
      <w:r w:rsidRPr="00E40478">
        <w:rPr>
          <w:rFonts w:ascii="Times New Roman" w:eastAsia="Times New Roman" w:hAnsi="Times New Roman" w:cs="Times New Roman"/>
          <w:sz w:val="24"/>
          <w:szCs w:val="24"/>
          <w:lang w:eastAsia="pl-PL"/>
        </w:rPr>
        <w:br/>
        <w:t>14) uchwalanie regulaminu Walnych Zgromadzeń,</w:t>
      </w:r>
      <w:r w:rsidRPr="00E40478">
        <w:rPr>
          <w:rFonts w:ascii="Times New Roman" w:eastAsia="Times New Roman" w:hAnsi="Times New Roman" w:cs="Times New Roman"/>
          <w:sz w:val="24"/>
          <w:szCs w:val="24"/>
          <w:lang w:eastAsia="pl-PL"/>
        </w:rPr>
        <w:br/>
        <w:t>15) rozwiązanie i likwidacja Spółki,</w:t>
      </w:r>
      <w:r w:rsidRPr="00E40478">
        <w:rPr>
          <w:rFonts w:ascii="Times New Roman" w:eastAsia="Times New Roman" w:hAnsi="Times New Roman" w:cs="Times New Roman"/>
          <w:sz w:val="24"/>
          <w:szCs w:val="24"/>
          <w:lang w:eastAsia="pl-PL"/>
        </w:rPr>
        <w:br/>
        <w:t>16) łączenie, podział i przekształcenie Spółki,</w:t>
      </w:r>
      <w:r w:rsidRPr="00E40478">
        <w:rPr>
          <w:rFonts w:ascii="Times New Roman" w:eastAsia="Times New Roman" w:hAnsi="Times New Roman" w:cs="Times New Roman"/>
          <w:sz w:val="24"/>
          <w:szCs w:val="24"/>
          <w:lang w:eastAsia="pl-PL"/>
        </w:rPr>
        <w:br/>
        <w:t xml:space="preserve">17) wycofanie akcji Spółki z publicznego obrotu.”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otrzymuje nowe, następujące brzmienie:</w:t>
      </w:r>
      <w:r w:rsidRPr="00E40478">
        <w:rPr>
          <w:rFonts w:ascii="Times New Roman" w:eastAsia="Times New Roman" w:hAnsi="Times New Roman" w:cs="Times New Roman"/>
          <w:sz w:val="24"/>
          <w:szCs w:val="24"/>
          <w:lang w:eastAsia="pl-PL"/>
        </w:rPr>
        <w:br/>
        <w:t>„Do kompetencji Walnego Zgromadzenia należy w szczególności:</w:t>
      </w:r>
      <w:r w:rsidRPr="00E40478">
        <w:rPr>
          <w:rFonts w:ascii="Times New Roman" w:eastAsia="Times New Roman" w:hAnsi="Times New Roman" w:cs="Times New Roman"/>
          <w:sz w:val="24"/>
          <w:szCs w:val="24"/>
          <w:lang w:eastAsia="pl-PL"/>
        </w:rPr>
        <w:br/>
        <w:t>1) rozpatrzenie i zatwierdzenie sprawozdania Zarządu  z działalności Spółki oraz sprawozdania finansowego za ubiegły rok obrotowy oraz udzielenie absolutorium  członkom  organów Spółki z wykonania przez nich  obowiązków,</w:t>
      </w:r>
      <w:r w:rsidRPr="00E40478">
        <w:rPr>
          <w:rFonts w:ascii="Times New Roman" w:eastAsia="Times New Roman" w:hAnsi="Times New Roman" w:cs="Times New Roman"/>
          <w:sz w:val="24"/>
          <w:szCs w:val="24"/>
          <w:lang w:eastAsia="pl-PL"/>
        </w:rPr>
        <w:br/>
        <w:t>2) podział zysków lub pokrycie strat,</w:t>
      </w:r>
      <w:r w:rsidRPr="00E40478">
        <w:rPr>
          <w:rFonts w:ascii="Times New Roman" w:eastAsia="Times New Roman" w:hAnsi="Times New Roman" w:cs="Times New Roman"/>
          <w:sz w:val="24"/>
          <w:szCs w:val="24"/>
          <w:lang w:eastAsia="pl-PL"/>
        </w:rPr>
        <w:br/>
        <w:t>3) rozpatrzenie i zatwierdzenie sprawozdania Rady Nadzorczej za rok ubiegły,</w:t>
      </w:r>
      <w:r w:rsidRPr="00E40478">
        <w:rPr>
          <w:rFonts w:ascii="Times New Roman" w:eastAsia="Times New Roman" w:hAnsi="Times New Roman" w:cs="Times New Roman"/>
          <w:sz w:val="24"/>
          <w:szCs w:val="24"/>
          <w:lang w:eastAsia="pl-PL"/>
        </w:rPr>
        <w:br/>
        <w:t>4) zmiana statutu Spółki,</w:t>
      </w:r>
      <w:r w:rsidRPr="00E40478">
        <w:rPr>
          <w:rFonts w:ascii="Times New Roman" w:eastAsia="Times New Roman" w:hAnsi="Times New Roman" w:cs="Times New Roman"/>
          <w:sz w:val="24"/>
          <w:szCs w:val="24"/>
          <w:lang w:eastAsia="pl-PL"/>
        </w:rPr>
        <w:br/>
        <w:t>5) podwyższenie lub  obniżenie kapitału zakładowego,</w:t>
      </w:r>
      <w:r w:rsidRPr="00E40478">
        <w:rPr>
          <w:rFonts w:ascii="Times New Roman" w:eastAsia="Times New Roman" w:hAnsi="Times New Roman" w:cs="Times New Roman"/>
          <w:sz w:val="24"/>
          <w:szCs w:val="24"/>
          <w:lang w:eastAsia="pl-PL"/>
        </w:rPr>
        <w:br/>
        <w:t>6) zbycie i wydzierżawienie przedsiębiorstwa lub jego zorganizowanej części oraz ustanowienie na nich ograniczonego prawa rzeczowego,</w:t>
      </w:r>
      <w:r w:rsidRPr="00E40478">
        <w:rPr>
          <w:rFonts w:ascii="Times New Roman" w:eastAsia="Times New Roman" w:hAnsi="Times New Roman" w:cs="Times New Roman"/>
          <w:sz w:val="24"/>
          <w:szCs w:val="24"/>
          <w:lang w:eastAsia="pl-PL"/>
        </w:rPr>
        <w:br/>
        <w:t>7) nabycie i zbycie nieruchomości lub udziału w nieruchomości o wartości przekraczającej 25 % kapitału zakładowego Spółki,</w:t>
      </w:r>
      <w:r w:rsidRPr="00E40478">
        <w:rPr>
          <w:rFonts w:ascii="Times New Roman" w:eastAsia="Times New Roman" w:hAnsi="Times New Roman" w:cs="Times New Roman"/>
          <w:sz w:val="24"/>
          <w:szCs w:val="24"/>
          <w:lang w:eastAsia="pl-PL"/>
        </w:rPr>
        <w:br/>
        <w:t>8) emisja obligacji, w tym zamiennych lub  z prawem pierwszeństwa,</w:t>
      </w:r>
      <w:r w:rsidRPr="00E40478">
        <w:rPr>
          <w:rFonts w:ascii="Times New Roman" w:eastAsia="Times New Roman" w:hAnsi="Times New Roman" w:cs="Times New Roman"/>
          <w:sz w:val="24"/>
          <w:szCs w:val="24"/>
          <w:lang w:eastAsia="pl-PL"/>
        </w:rPr>
        <w:br/>
        <w:t>9) rozstrzyganie o użyciu kapitału zapasowego i kapitałów rezerwowych,</w:t>
      </w:r>
      <w:r w:rsidRPr="00E40478">
        <w:rPr>
          <w:rFonts w:ascii="Times New Roman" w:eastAsia="Times New Roman" w:hAnsi="Times New Roman" w:cs="Times New Roman"/>
          <w:sz w:val="24"/>
          <w:szCs w:val="24"/>
          <w:lang w:eastAsia="pl-PL"/>
        </w:rPr>
        <w:br/>
        <w:t>10) wybór biegłego w przypadkach określonych w Ksh,</w:t>
      </w:r>
      <w:r w:rsidRPr="00E40478">
        <w:rPr>
          <w:rFonts w:ascii="Times New Roman" w:eastAsia="Times New Roman" w:hAnsi="Times New Roman" w:cs="Times New Roman"/>
          <w:sz w:val="24"/>
          <w:szCs w:val="24"/>
          <w:lang w:eastAsia="pl-PL"/>
        </w:rPr>
        <w:br/>
        <w:t>11) wszelkie postanowienia dotyczące roszczeń o naprawienie szkody wyrządzonej przy zawiązywaniu Spółki lub sprawowaniu zarządu albo nadzoru,</w:t>
      </w:r>
      <w:r w:rsidRPr="00E40478">
        <w:rPr>
          <w:rFonts w:ascii="Times New Roman" w:eastAsia="Times New Roman" w:hAnsi="Times New Roman" w:cs="Times New Roman"/>
          <w:sz w:val="24"/>
          <w:szCs w:val="24"/>
          <w:lang w:eastAsia="pl-PL"/>
        </w:rPr>
        <w:br/>
        <w:t>12) powoływanie i odwoływanie członków Rady Nadzorczej, w tym Przewodniczącego,</w:t>
      </w:r>
      <w:r w:rsidRPr="00E40478">
        <w:rPr>
          <w:rFonts w:ascii="Times New Roman" w:eastAsia="Times New Roman" w:hAnsi="Times New Roman" w:cs="Times New Roman"/>
          <w:sz w:val="24"/>
          <w:szCs w:val="24"/>
          <w:lang w:eastAsia="pl-PL"/>
        </w:rPr>
        <w:br/>
        <w:t xml:space="preserve">13) z zastrzeżeniem  treści § 22 ust. 3 ustalenie zasad i wysokości wynagrodzenia Członków </w:t>
      </w:r>
      <w:r w:rsidRPr="00E40478">
        <w:rPr>
          <w:rFonts w:ascii="Times New Roman" w:eastAsia="Times New Roman" w:hAnsi="Times New Roman" w:cs="Times New Roman"/>
          <w:sz w:val="24"/>
          <w:szCs w:val="24"/>
          <w:lang w:eastAsia="pl-PL"/>
        </w:rPr>
        <w:lastRenderedPageBreak/>
        <w:t>Rady Nadzorczej,</w:t>
      </w:r>
      <w:r w:rsidRPr="00E40478">
        <w:rPr>
          <w:rFonts w:ascii="Times New Roman" w:eastAsia="Times New Roman" w:hAnsi="Times New Roman" w:cs="Times New Roman"/>
          <w:sz w:val="24"/>
          <w:szCs w:val="24"/>
          <w:lang w:eastAsia="pl-PL"/>
        </w:rPr>
        <w:br/>
        <w:t>14) uchwalanie regulaminu Walnych Zgromadzeń,</w:t>
      </w:r>
      <w:r w:rsidRPr="00E40478">
        <w:rPr>
          <w:rFonts w:ascii="Times New Roman" w:eastAsia="Times New Roman" w:hAnsi="Times New Roman" w:cs="Times New Roman"/>
          <w:sz w:val="24"/>
          <w:szCs w:val="24"/>
          <w:lang w:eastAsia="pl-PL"/>
        </w:rPr>
        <w:br/>
        <w:t>15) rozwiązanie i likwidacja Spółki,</w:t>
      </w:r>
      <w:r w:rsidRPr="00E40478">
        <w:rPr>
          <w:rFonts w:ascii="Times New Roman" w:eastAsia="Times New Roman" w:hAnsi="Times New Roman" w:cs="Times New Roman"/>
          <w:sz w:val="24"/>
          <w:szCs w:val="24"/>
          <w:lang w:eastAsia="pl-PL"/>
        </w:rPr>
        <w:br/>
        <w:t>16) łączenie, podział i przekształcenie Spółki,</w:t>
      </w:r>
      <w:r w:rsidRPr="00E40478">
        <w:rPr>
          <w:rFonts w:ascii="Times New Roman" w:eastAsia="Times New Roman" w:hAnsi="Times New Roman" w:cs="Times New Roman"/>
          <w:sz w:val="24"/>
          <w:szCs w:val="24"/>
          <w:lang w:eastAsia="pl-PL"/>
        </w:rPr>
        <w:br/>
        <w:t xml:space="preserve">17) wycofanie akcji Spółki z publicznego obrotu.”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2.</w:t>
      </w:r>
      <w:r w:rsidRPr="00E40478">
        <w:rPr>
          <w:rFonts w:ascii="Times New Roman" w:eastAsia="Times New Roman" w:hAnsi="Times New Roman" w:cs="Times New Roman"/>
          <w:sz w:val="24"/>
          <w:szCs w:val="24"/>
          <w:lang w:eastAsia="pl-PL"/>
        </w:rPr>
        <w:br/>
        <w:t xml:space="preserve">Upoważnia się Radę Nadzorczą do ustalenia jednolitego tekstu Statutu Spółki, uwzględniającego zmiany uchwalone niniejszą uchwałą.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3.</w:t>
      </w:r>
      <w:r w:rsidRPr="00E40478">
        <w:rPr>
          <w:rFonts w:ascii="Times New Roman" w:eastAsia="Times New Roman" w:hAnsi="Times New Roman" w:cs="Times New Roman"/>
          <w:sz w:val="24"/>
          <w:szCs w:val="24"/>
          <w:lang w:eastAsia="pl-PL"/>
        </w:rPr>
        <w:br/>
        <w:t xml:space="preserve">Uchwała wchodzi w życie z dniem podjęcia, z zastrzeżeniem, iż skutek prawny w postaci zmian statutu następuje z chwilą rejestracji przez Sąd Rejestrowy zmian statutu w rejestrze przedsiębiorców Krajowego Rejestru Sądowego.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 xml:space="preserve">Podstawa prawna: art. 56 ust. 1 pkt 2 ustawy o ofercie. </w:t>
      </w:r>
    </w:p>
    <w:p w:rsidR="00E40478" w:rsidRPr="00E40478" w:rsidRDefault="00E40478" w:rsidP="00E40478">
      <w:pPr>
        <w:spacing w:before="100" w:beforeAutospacing="1" w:after="100" w:afterAutospacing="1" w:line="240" w:lineRule="auto"/>
        <w:rPr>
          <w:rFonts w:ascii="Times New Roman" w:eastAsia="Times New Roman" w:hAnsi="Times New Roman" w:cs="Times New Roman"/>
          <w:sz w:val="24"/>
          <w:szCs w:val="24"/>
          <w:lang w:eastAsia="pl-PL"/>
        </w:rPr>
      </w:pPr>
      <w:r w:rsidRPr="00E40478">
        <w:rPr>
          <w:rFonts w:ascii="Times New Roman" w:eastAsia="Times New Roman" w:hAnsi="Times New Roman" w:cs="Times New Roman"/>
          <w:sz w:val="24"/>
          <w:szCs w:val="24"/>
          <w:lang w:eastAsia="pl-PL"/>
        </w:rPr>
        <w:t>Tadeusz Steckiewicz, Barbara Sissons</w:t>
      </w:r>
    </w:p>
    <w:p w:rsidR="000D1F93" w:rsidRDefault="000D1F93"/>
    <w:sectPr w:rsidR="000D1F93" w:rsidSect="000D1F9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40478"/>
    <w:rsid w:val="000D1F93"/>
    <w:rsid w:val="00E404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1F93"/>
  </w:style>
  <w:style w:type="paragraph" w:styleId="Nagwek1">
    <w:name w:val="heading 1"/>
    <w:basedOn w:val="Normalny"/>
    <w:link w:val="Nagwek1Znak"/>
    <w:uiPriority w:val="9"/>
    <w:qFormat/>
    <w:rsid w:val="00E404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0478"/>
    <w:rPr>
      <w:rFonts w:ascii="Times New Roman" w:eastAsia="Times New Roman" w:hAnsi="Times New Roman" w:cs="Times New Roman"/>
      <w:b/>
      <w:bCs/>
      <w:kern w:val="36"/>
      <w:sz w:val="48"/>
      <w:szCs w:val="48"/>
      <w:lang w:eastAsia="pl-PL"/>
    </w:rPr>
  </w:style>
  <w:style w:type="paragraph" w:customStyle="1" w:styleId="bodytext">
    <w:name w:val="bodytext"/>
    <w:basedOn w:val="Normalny"/>
    <w:rsid w:val="00E4047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40478"/>
    <w:rPr>
      <w:b/>
      <w:bCs/>
    </w:rPr>
  </w:style>
</w:styles>
</file>

<file path=word/webSettings.xml><?xml version="1.0" encoding="utf-8"?>
<w:webSettings xmlns:r="http://schemas.openxmlformats.org/officeDocument/2006/relationships" xmlns:w="http://schemas.openxmlformats.org/wordprocessingml/2006/main">
  <w:divs>
    <w:div w:id="208125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2397</Words>
  <Characters>14382</Characters>
  <Application>Microsoft Office Word</Application>
  <DocSecurity>0</DocSecurity>
  <Lines>119</Lines>
  <Paragraphs>33</Paragraphs>
  <ScaleCrop>false</ScaleCrop>
  <Company/>
  <LinksUpToDate>false</LinksUpToDate>
  <CharactersWithSpaces>16746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mgortat</dc:creator>
  <cp:keywords/>
  <dc:description/>
  <cp:lastModifiedBy>mgortat</cp:lastModifiedBy>
  <cp:revision>2</cp:revision>
  <dcterms:created xsi:type="dcterms:W3CDTF">2015-06-15T08:42:00Z</dcterms:created>
  <dcterms:modified xsi:type="dcterms:W3CDTF">2015-06-15T08:42:00Z</dcterms:modified>
</cp:coreProperties>
</file>